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3046" w14:textId="77777777"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  <w:bookmarkStart w:id="0" w:name="_Hlk525180790"/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5245"/>
      </w:tblGrid>
      <w:tr w:rsidR="009A0B67" w:rsidRPr="009A0B67" w14:paraId="66E7EE6F" w14:textId="77777777" w:rsidTr="006E523D">
        <w:trPr>
          <w:trHeight w:val="800"/>
        </w:trPr>
        <w:tc>
          <w:tcPr>
            <w:tcW w:w="851" w:type="dxa"/>
          </w:tcPr>
          <w:p w14:paraId="09B1AFE4" w14:textId="77777777" w:rsidR="009A0B67" w:rsidRPr="009A0B67" w:rsidRDefault="009A0B67" w:rsidP="009A0B67">
            <w:pPr>
              <w:spacing w:after="0" w:line="230" w:lineRule="exact"/>
              <w:ind w:left="200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0B5688B" w14:textId="77777777" w:rsidR="009A0B67" w:rsidRPr="009A0B67" w:rsidRDefault="009A0B67" w:rsidP="009A0B67">
            <w:pPr>
              <w:spacing w:after="0" w:line="240" w:lineRule="auto"/>
              <w:ind w:left="165" w:right="17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Принято заседанием</w:t>
            </w:r>
            <w:r w:rsidRPr="009A0B67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педагогического совета</w:t>
            </w:r>
            <w:r w:rsidRPr="009A0B67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(протокол</w:t>
            </w:r>
            <w:r w:rsidRPr="009A0B67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от</w:t>
            </w:r>
            <w:r w:rsidRPr="009A0B67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30.08.2022</w:t>
            </w:r>
            <w:r w:rsidRPr="009A0B67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№</w:t>
            </w:r>
            <w:r w:rsidRPr="009A0B67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1)</w:t>
            </w:r>
          </w:p>
        </w:tc>
        <w:tc>
          <w:tcPr>
            <w:tcW w:w="5245" w:type="dxa"/>
          </w:tcPr>
          <w:p w14:paraId="4A783E23" w14:textId="77777777" w:rsidR="009A0B67" w:rsidRPr="009A0B67" w:rsidRDefault="009A0B67" w:rsidP="009A0B67">
            <w:pPr>
              <w:spacing w:after="0" w:line="222" w:lineRule="exact"/>
              <w:ind w:left="1983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УТВЕРЖДЕНО</w:t>
            </w:r>
          </w:p>
          <w:p w14:paraId="01F4B3EA" w14:textId="77777777" w:rsidR="009A0B67" w:rsidRPr="009A0B67" w:rsidRDefault="009A0B67" w:rsidP="009A0B67">
            <w:pPr>
              <w:tabs>
                <w:tab w:val="left" w:pos="2152"/>
              </w:tabs>
              <w:spacing w:after="0" w:line="240" w:lineRule="auto"/>
              <w:ind w:left="184" w:right="196" w:firstLine="679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A0B67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>Директор МКОУ «Новокулинская СОШ №1»</w:t>
            </w:r>
          </w:p>
          <w:p w14:paraId="23A6C5DE" w14:textId="77777777" w:rsidR="009A0B67" w:rsidRPr="009A0B67" w:rsidRDefault="009A0B67" w:rsidP="009A0B67">
            <w:pPr>
              <w:tabs>
                <w:tab w:val="left" w:pos="2152"/>
              </w:tabs>
              <w:spacing w:after="0" w:line="240" w:lineRule="auto"/>
              <w:ind w:left="184" w:right="196" w:firstLine="679"/>
              <w:rPr>
                <w:rFonts w:ascii="Times New Roman" w:eastAsia="Times New Roman" w:hAnsi="Times New Roman"/>
                <w:sz w:val="20"/>
              </w:rPr>
            </w:pPr>
            <w:r w:rsidRPr="009A0B67">
              <w:rPr>
                <w:rFonts w:ascii="Times New Roman" w:eastAsia="Times New Roman" w:hAnsi="Times New Roman"/>
                <w:sz w:val="20"/>
                <w:lang w:val="ru-RU"/>
              </w:rPr>
              <w:t xml:space="preserve">                   </w:t>
            </w:r>
            <w:r w:rsidRPr="009A0B67">
              <w:rPr>
                <w:rFonts w:ascii="Times New Roman" w:eastAsia="Times New Roman" w:hAnsi="Times New Roman"/>
                <w:sz w:val="20"/>
                <w:u w:val="single"/>
                <w:lang w:val="ru-RU"/>
              </w:rPr>
              <w:t xml:space="preserve">                </w:t>
            </w:r>
            <w:proofErr w:type="spellStart"/>
            <w:r w:rsidRPr="009A0B67">
              <w:rPr>
                <w:rFonts w:ascii="Times New Roman" w:eastAsia="Times New Roman" w:hAnsi="Times New Roman"/>
                <w:spacing w:val="-1"/>
                <w:sz w:val="20"/>
              </w:rPr>
              <w:t>Султанова</w:t>
            </w:r>
            <w:proofErr w:type="spellEnd"/>
            <w:r w:rsidRPr="009A0B67">
              <w:rPr>
                <w:rFonts w:ascii="Times New Roman" w:eastAsia="Times New Roman" w:hAnsi="Times New Roman"/>
                <w:spacing w:val="-1"/>
                <w:sz w:val="20"/>
              </w:rPr>
              <w:t xml:space="preserve"> Р.К.</w:t>
            </w:r>
          </w:p>
          <w:p w14:paraId="50018F6B" w14:textId="77777777" w:rsidR="009A0B67" w:rsidRPr="009A0B67" w:rsidRDefault="009A0B67" w:rsidP="009A0B67">
            <w:pPr>
              <w:tabs>
                <w:tab w:val="left" w:pos="2152"/>
              </w:tabs>
              <w:spacing w:after="0" w:line="240" w:lineRule="auto"/>
              <w:ind w:left="184" w:right="196" w:firstLine="679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5386304F" w14:textId="77777777"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14:paraId="53863050" w14:textId="77777777" w:rsidR="00855836" w:rsidRPr="00DD5F55" w:rsidRDefault="00E6605C" w:rsidP="00D77426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</w:t>
      </w:r>
      <w:r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орядок 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</w:t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основания</w:t>
      </w:r>
      <w:r w:rsidR="00DD5F55"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перевода, отчисления о восстановления обучающихся</w:t>
      </w:r>
    </w:p>
    <w:p w14:paraId="53863051" w14:textId="77777777"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14:paraId="53863052" w14:textId="77777777"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3863053" w14:textId="77777777"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54" w14:textId="75D0A85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>зом Минобрнауки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9A0B67">
        <w:rPr>
          <w:rFonts w:ascii="Times New Roman" w:hAnsi="Times New Roman"/>
          <w:sz w:val="24"/>
          <w:szCs w:val="24"/>
        </w:rPr>
        <w:t xml:space="preserve">казенного общеобразовательного учреждение «Новокулинская средняя общеобразовательная школа №1» </w:t>
      </w:r>
      <w:r w:rsidR="00896197" w:rsidRPr="002746AE">
        <w:rPr>
          <w:rFonts w:ascii="Times New Roman" w:hAnsi="Times New Roman"/>
          <w:sz w:val="24"/>
          <w:szCs w:val="24"/>
        </w:rPr>
        <w:t xml:space="preserve">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14:paraId="5386305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14:paraId="53863056" w14:textId="77777777"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57" w14:textId="77777777"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14:paraId="53863058" w14:textId="77777777"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59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14:paraId="5386305A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5386305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14:paraId="5386305C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5386305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5386305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14:paraId="5386305F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14:paraId="5386306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14:paraId="5386306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14:paraId="53863062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14:paraId="5386306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53863064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14:paraId="5386306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5386306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14:paraId="5386306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5386306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14:paraId="53863069" w14:textId="77777777"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14:paraId="5386306A" w14:textId="77777777"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14:paraId="5386306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5386306C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14:paraId="5386306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14:paraId="5386306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В случае если родители (законные представители) несовершеннолетнего обучающегося не имеют единого решения по вопросу перевода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14:paraId="5386306F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386307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5386307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53863072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</w:t>
      </w:r>
      <w:r w:rsidRPr="002746AE">
        <w:rPr>
          <w:rFonts w:ascii="Times New Roman" w:hAnsi="Times New Roman"/>
          <w:sz w:val="24"/>
          <w:szCs w:val="24"/>
        </w:rPr>
        <w:lastRenderedPageBreak/>
        <w:t>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14:paraId="5386307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14:paraId="53863074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14:paraId="5386307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386307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14:paraId="5386307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14:paraId="53863078" w14:textId="77777777"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79" w14:textId="77777777"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14:paraId="5386307A" w14:textId="77777777"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7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 xml:space="preserve">ствляется по решению директора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7C" w14:textId="77777777"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36402F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5386307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14:paraId="5386307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14:paraId="5386307F" w14:textId="77777777"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14:paraId="53863080" w14:textId="77777777"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81" w14:textId="77777777"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14:paraId="53863082" w14:textId="77777777"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8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53863084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8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</w:t>
      </w:r>
      <w:r w:rsidRPr="002746AE">
        <w:rPr>
          <w:rFonts w:ascii="Times New Roman" w:hAnsi="Times New Roman"/>
          <w:sz w:val="24"/>
          <w:szCs w:val="24"/>
        </w:rPr>
        <w:lastRenderedPageBreak/>
        <w:t>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14:paraId="5386308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14:paraId="5386308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14:paraId="5386308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89" w14:textId="77777777"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8A" w14:textId="77777777"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14:paraId="5386308B" w14:textId="77777777"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8C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14:paraId="5386308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5386308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5386308F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14:paraId="5386309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14:paraId="5386309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92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5386309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14:paraId="53863094" w14:textId="77777777"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95" w14:textId="77777777"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14:paraId="53863096" w14:textId="77777777"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9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14:paraId="5386309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14:paraId="53863099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5386309A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14:paraId="5386309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14:paraId="5386309C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14:paraId="5386309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14:paraId="5386309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9F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обучение по адаптированной образовательной программе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A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538630A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14:paraId="538630A2" w14:textId="77777777"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8630A3" w14:textId="77777777"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14:paraId="538630A4" w14:textId="77777777"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A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14:paraId="538630A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14:paraId="538630A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14:paraId="538630A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14:paraId="538630A9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14:paraId="538630AA" w14:textId="77777777"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14:paraId="538630AB" w14:textId="77777777"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14:paraId="538630AC" w14:textId="77777777"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 xml:space="preserve">в МБОУ </w:t>
      </w:r>
      <w:r w:rsidR="0036402F">
        <w:rPr>
          <w:rFonts w:ascii="Times New Roman" w:hAnsi="Times New Roman"/>
          <w:sz w:val="24"/>
          <w:szCs w:val="24"/>
        </w:rPr>
        <w:t>«Центр образования                        «Перспектива»</w:t>
      </w:r>
      <w:r>
        <w:rPr>
          <w:rFonts w:ascii="Times New Roman" w:hAnsi="Times New Roman"/>
          <w:sz w:val="24"/>
          <w:szCs w:val="24"/>
        </w:rPr>
        <w:t xml:space="preserve"> г. Брянска</w:t>
      </w:r>
      <w:r w:rsidRPr="00D11F27">
        <w:rPr>
          <w:rFonts w:ascii="Times New Roman" w:hAnsi="Times New Roman"/>
          <w:sz w:val="24"/>
          <w:szCs w:val="24"/>
        </w:rPr>
        <w:t>.</w:t>
      </w:r>
    </w:p>
    <w:p w14:paraId="538630AD" w14:textId="77777777"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38630AE" w14:textId="77777777"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14:paraId="538630AF" w14:textId="77777777"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38630B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14:paraId="538630B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14:paraId="538630B2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14:paraId="538630B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14:paraId="538630B4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Pr="002746AE">
        <w:rPr>
          <w:rFonts w:ascii="Times New Roman" w:hAnsi="Times New Roman"/>
          <w:sz w:val="24"/>
          <w:szCs w:val="24"/>
        </w:rPr>
        <w:lastRenderedPageBreak/>
        <w:t>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14:paraId="538630B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14:paraId="538630B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14:paraId="538630B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14:paraId="538630B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14:paraId="538630B9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14:paraId="538630BA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14:paraId="538630B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14:paraId="538630BC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14:paraId="538630BD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14:paraId="538630BE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14:paraId="538630BF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14:paraId="538630C0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14:paraId="538630C1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14:paraId="538630C2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14:paraId="538630C3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14:paraId="538630C4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538630C5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538630C6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14:paraId="538630C7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14:paraId="538630C8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14:paraId="538630C9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14:paraId="538630CA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14:paraId="538630CB" w14:textId="77777777"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538630CC" w14:textId="77777777"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14:paraId="538630CD" w14:textId="77777777"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14:paraId="538630CE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538630CF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38630D0" w14:textId="0547A8FE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</w:t>
      </w:r>
      <w:r w:rsidR="009A0B67">
        <w:rPr>
          <w:rFonts w:ascii="Times New Roman" w:hAnsi="Times New Roman"/>
          <w:sz w:val="24"/>
          <w:szCs w:val="24"/>
        </w:rPr>
        <w:t>Новолакского района</w:t>
      </w:r>
      <w:r w:rsidRPr="002746AE">
        <w:rPr>
          <w:rFonts w:ascii="Times New Roman" w:hAnsi="Times New Roman"/>
          <w:sz w:val="24"/>
          <w:szCs w:val="24"/>
        </w:rPr>
        <w:t xml:space="preserve"> и родители (законные представители) несовершеннолетних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14:paraId="538630D1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14:paraId="538630D2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14:paraId="538630D3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538630D4" w14:textId="77777777"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14:paraId="538630D5" w14:textId="77777777"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14:paraId="538630D6" w14:textId="77777777"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14:paraId="538630D7" w14:textId="77777777"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38630D8" w14:textId="77777777"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14:paraId="538630D9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14:paraId="538630DA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14:paraId="538630DB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14:paraId="538630DC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14:paraId="538630DD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14:paraId="538630DE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14:paraId="538630DF" w14:textId="77777777"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14:paraId="538630E0" w14:textId="77777777"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30E3" w14:textId="77777777" w:rsidR="00185578" w:rsidRDefault="00185578" w:rsidP="00940863">
      <w:pPr>
        <w:spacing w:after="0" w:line="240" w:lineRule="auto"/>
      </w:pPr>
      <w:r>
        <w:separator/>
      </w:r>
    </w:p>
  </w:endnote>
  <w:endnote w:type="continuationSeparator" w:id="0">
    <w:p w14:paraId="538630E4" w14:textId="77777777" w:rsidR="00185578" w:rsidRDefault="00185578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30E1" w14:textId="77777777" w:rsidR="00185578" w:rsidRDefault="00185578" w:rsidP="00940863">
      <w:pPr>
        <w:spacing w:after="0" w:line="240" w:lineRule="auto"/>
      </w:pPr>
      <w:r>
        <w:separator/>
      </w:r>
    </w:p>
  </w:footnote>
  <w:footnote w:type="continuationSeparator" w:id="0">
    <w:p w14:paraId="538630E2" w14:textId="77777777" w:rsidR="00185578" w:rsidRDefault="00185578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95258">
    <w:abstractNumId w:val="0"/>
  </w:num>
  <w:num w:numId="2" w16cid:durableId="1556546387">
    <w:abstractNumId w:val="5"/>
  </w:num>
  <w:num w:numId="3" w16cid:durableId="116411360">
    <w:abstractNumId w:val="3"/>
  </w:num>
  <w:num w:numId="4" w16cid:durableId="66192196">
    <w:abstractNumId w:val="8"/>
  </w:num>
  <w:num w:numId="5" w16cid:durableId="916791187">
    <w:abstractNumId w:val="6"/>
  </w:num>
  <w:num w:numId="6" w16cid:durableId="1311131267">
    <w:abstractNumId w:val="4"/>
  </w:num>
  <w:num w:numId="7" w16cid:durableId="958490957">
    <w:abstractNumId w:val="1"/>
  </w:num>
  <w:num w:numId="8" w16cid:durableId="1298409439">
    <w:abstractNumId w:val="2"/>
  </w:num>
  <w:num w:numId="9" w16cid:durableId="1057125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0B67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3046"/>
  <w15:docId w15:val="{C52ED79C-1205-400F-8ACD-067CEB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  <w:style w:type="table" w:customStyle="1" w:styleId="TableNormal">
    <w:name w:val="Table Normal"/>
    <w:uiPriority w:val="2"/>
    <w:semiHidden/>
    <w:unhideWhenUsed/>
    <w:qFormat/>
    <w:rsid w:val="009A0B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0B67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351E9-FCFE-45B1-95D6-E64230AE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4060</Words>
  <Characters>23144</Characters>
  <Application>Microsoft Office Word</Application>
  <DocSecurity>0</DocSecurity>
  <PresentationFormat>sfra0w</PresentationFormat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Ханум Магомедова</cp:lastModifiedBy>
  <cp:revision>2</cp:revision>
  <cp:lastPrinted>2016-06-01T07:25:00Z</cp:lastPrinted>
  <dcterms:created xsi:type="dcterms:W3CDTF">2023-04-10T15:53:00Z</dcterms:created>
  <dcterms:modified xsi:type="dcterms:W3CDTF">2023-04-10T15:53:00Z</dcterms:modified>
</cp:coreProperties>
</file>